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F75D28" w:rsidRPr="00F75D28" w14:paraId="080DAAD7" w14:textId="77777777" w:rsidTr="00F75D28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14:paraId="0F53327B" w14:textId="77777777" w:rsidR="00F75D28" w:rsidRPr="00F75D28" w:rsidRDefault="00F75D28" w:rsidP="00F75D28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kern w:val="0"/>
                <w:sz w:val="36"/>
                <w:szCs w:val="36"/>
                <w14:ligatures w14:val="none"/>
              </w:rPr>
            </w:pPr>
            <w:r w:rsidRPr="00F75D28">
              <w:rPr>
                <w:rFonts w:ascii="Arial" w:eastAsia="Times New Roman" w:hAnsi="Arial" w:cs="Arial"/>
                <w:b/>
                <w:bCs/>
                <w:color w:val="FFE8BF"/>
                <w:kern w:val="0"/>
                <w:sz w:val="36"/>
                <w:szCs w:val="36"/>
                <w14:ligatures w14:val="none"/>
              </w:rPr>
              <w:t>ОДЛУКА</w:t>
            </w:r>
          </w:p>
          <w:p w14:paraId="05C4553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ind w:right="975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4"/>
                <w:szCs w:val="34"/>
                <w14:ligatures w14:val="none"/>
              </w:rPr>
            </w:pPr>
            <w:r w:rsidRPr="00F75D2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4"/>
                <w:szCs w:val="34"/>
                <w14:ligatures w14:val="none"/>
              </w:rPr>
              <w:t>О ЛОКАЛНИМ КОМУНАЛНИМ ТАКСАМА ЗА ТЕРИТОРИЈУ ГРАДА ЧАЧКА</w:t>
            </w:r>
          </w:p>
          <w:p w14:paraId="580662EB" w14:textId="77777777" w:rsidR="00F75D28" w:rsidRPr="00F75D28" w:rsidRDefault="00F75D28" w:rsidP="00F75D28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6"/>
                <w:szCs w:val="26"/>
                <w14:ligatures w14:val="none"/>
              </w:rPr>
            </w:pPr>
            <w:r w:rsidRPr="00F75D28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6"/>
                <w:szCs w:val="26"/>
                <w14:ligatures w14:val="none"/>
              </w:rPr>
              <w:t>("</w:t>
            </w:r>
            <w:proofErr w:type="spellStart"/>
            <w:r w:rsidRPr="00F75D28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6"/>
                <w:szCs w:val="26"/>
                <w14:ligatures w14:val="none"/>
              </w:rPr>
              <w:t>Сл</w:t>
            </w:r>
            <w:proofErr w:type="spellEnd"/>
            <w:r w:rsidRPr="00F75D28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6"/>
                <w:szCs w:val="26"/>
                <w14:ligatures w14:val="none"/>
              </w:rPr>
              <w:t xml:space="preserve">. </w:t>
            </w:r>
            <w:proofErr w:type="spellStart"/>
            <w:r w:rsidRPr="00F75D28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6"/>
                <w:szCs w:val="26"/>
                <w14:ligatures w14:val="none"/>
              </w:rPr>
              <w:t>лист</w:t>
            </w:r>
            <w:proofErr w:type="spellEnd"/>
            <w:r w:rsidRPr="00F75D28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6"/>
                <w:szCs w:val="26"/>
                <w14:ligatures w14:val="none"/>
              </w:rPr>
              <w:t>града</w:t>
            </w:r>
            <w:proofErr w:type="spellEnd"/>
            <w:r w:rsidRPr="00F75D28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6"/>
                <w:szCs w:val="26"/>
                <w14:ligatures w14:val="none"/>
              </w:rPr>
              <w:t>Чачка</w:t>
            </w:r>
            <w:proofErr w:type="spellEnd"/>
            <w:r w:rsidRPr="00F75D28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6"/>
                <w:szCs w:val="26"/>
                <w14:ligatures w14:val="none"/>
              </w:rPr>
              <w:t xml:space="preserve">", </w:t>
            </w:r>
            <w:proofErr w:type="spellStart"/>
            <w:r w:rsidRPr="00F75D28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6"/>
                <w:szCs w:val="26"/>
                <w14:ligatures w14:val="none"/>
              </w:rPr>
              <w:t>бр</w:t>
            </w:r>
            <w:proofErr w:type="spellEnd"/>
            <w:r w:rsidRPr="00F75D28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6"/>
                <w:szCs w:val="26"/>
                <w14:ligatures w14:val="none"/>
              </w:rPr>
              <w:t>. 3/2019, 31/2020, 27/2021, 28/2022, 22/2023 и 27/2024)</w:t>
            </w:r>
          </w:p>
        </w:tc>
      </w:tr>
    </w:tbl>
    <w:p w14:paraId="0F5FA8F0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0" w:name="clan_1"/>
      <w:bookmarkEnd w:id="0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1 </w:t>
      </w:r>
    </w:p>
    <w:p w14:paraId="63E0C6D1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Одлуком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уводе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даљем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тексту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коришћење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предмета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територији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утврђују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обвезници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висина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олакшице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рокови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начин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413832A4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1" w:name="clan_2"/>
      <w:bookmarkEnd w:id="1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2</w:t>
      </w:r>
    </w:p>
    <w:p w14:paraId="23FB9AF1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</w:p>
    <w:p w14:paraId="0673CF78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1)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истицање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</w:p>
    <w:p w14:paraId="23EADFC0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2)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моторних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друмских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прикључних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пољопривредних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машина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</w:p>
    <w:p w14:paraId="04968239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3)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средстава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("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забавне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"); </w:t>
      </w:r>
    </w:p>
    <w:p w14:paraId="1D0E8466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2" w:name="clan_3"/>
      <w:bookmarkEnd w:id="2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3 </w:t>
      </w:r>
    </w:p>
    <w:p w14:paraId="50F9FFAA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корисник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предмета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коришћење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прописано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21D208F5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настаје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почетка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коришћења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предмета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коришћење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прописано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11AE5D92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траје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траје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коришћење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предмета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69487737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истицање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настаје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издавања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решења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регистрацији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стране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траје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престанак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коришћења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предмета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1C125645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средстава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настаје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почетка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средстава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траје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престанак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коришћења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предмета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06844E04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3" w:name="clan_4"/>
      <w:bookmarkEnd w:id="3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4 </w:t>
      </w:r>
    </w:p>
    <w:p w14:paraId="1CB1A4BB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утврђују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различитој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висини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зависно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врсте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површине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техничко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употребних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карактеристика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објеката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величине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смислу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закона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уређује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рачуноводство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висине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годишњег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прихода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деловима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територије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односно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зонама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налазе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објекти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предмети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врше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</w:p>
    <w:p w14:paraId="66095307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Екстра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зона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обухваћена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граничном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линијом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пружа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Кнеза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Милоша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Војводе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Степе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Синђелићеве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Синђелићевом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Железничком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Браће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Глишић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Браће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Глишића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Хајдук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Вељкове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Хајдук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Вељковом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Богићевићеве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Богићевићевом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Рајићеве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Рајићевом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Жупана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Страцимира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Жупана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Страцимира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Господар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Јованове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Господар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Јовановом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Поште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0EC31D1F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зона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обухвата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подручје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екстра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зоне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граничне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линије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пружа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Кнеза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Милоша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Синђелићеве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Цара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Лазара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Цара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Лазара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Драгише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Мишовића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Драгише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Мишовића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9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Југовића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9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Југовића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Железничке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Железничком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Аутобуске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станице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Ломином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Љубиском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Љубићском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Краља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Петра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Краља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Петра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Филипа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Филиповића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Филипа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Филиповића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Поште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6E40DF1D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зона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обухвата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подручје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зоне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граничне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линије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пружа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Немањином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Светог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Булеваром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ослобођења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Булеваром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ослобођења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Драгише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Мишовића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Симе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Сараге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Симе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Сараге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Драгише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Мишовића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железничке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пруге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железничком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пругом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бедема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десној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Западне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бедемом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Светог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Светог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Немањином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49BC45DC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Трећа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зона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обухвата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подручје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друге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зоне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граничне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линије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пружа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Војводе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Степе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Степановића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Гарашанина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Владике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Николаја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Велимировића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Владике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Николаја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Велимировића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Булеваром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ослободилаца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("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кружни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пут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"),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Булеваром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ослободилаца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Николе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Тесле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Николе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Тесле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Београдском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Ветеринарска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станица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),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затим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линијом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прелази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Западне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Затежића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Затежића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Мацановића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Мацановића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линији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пресеца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круг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предузећа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"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Слобода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"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Булевара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Танаска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Рајића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затим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Булеваром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Танаска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Рајића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Славка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Крупежа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Славка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Крупежа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Видосава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Колаковић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Видосава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Колаковић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Миладина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Бошковића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Миладина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Бошковића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Книћаниновом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даље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правцу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Миладина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Бошковића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бедема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левој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страни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Западне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бедемом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левој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страни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Западне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бране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СЦ "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Младост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",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браном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СЦ "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Младост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"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десне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стране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Западне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десном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обалом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Западне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укрштања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Гарашанина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бедема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десној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Западне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Гарашанина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раскрснице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Војводе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Степе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Степановића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56D0D92B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трећу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зону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сврставају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насељена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места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Мрчајевци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Овчар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Г.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Трепча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границама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њихових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урбанистичких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планова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25283511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Четврта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зона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обухвата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осталу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територију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границама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Генералног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урбанистичког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15 ("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Службени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"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25/13), а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граница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екстра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зоне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друге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треће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зоне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12889CFA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зона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обухвата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осталу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територију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граница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наведених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зона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1DFAE775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4" w:name="clan_5"/>
      <w:bookmarkEnd w:id="4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5 </w:t>
      </w:r>
    </w:p>
    <w:p w14:paraId="3D8E35AB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средстава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("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забавне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")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дужан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поднесе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утврђивање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основу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организационој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јединици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пореску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администрацију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року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15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почетка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средстава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13ADA383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5" w:name="clan_6"/>
      <w:bookmarkEnd w:id="5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6 </w:t>
      </w:r>
    </w:p>
    <w:p w14:paraId="07668986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истицање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дужан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поднесе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утврђивање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основу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организационој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јединици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пореску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администрацију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року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15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издавања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решења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регистрацији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стране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03B67E40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истицање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поднео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подноси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случају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промене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података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садржаних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односе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промену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седишта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0B1602F1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истицање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дужан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сваке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а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изради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редовних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финансијских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извештаја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достави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управи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пореску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администрацију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обавештење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разврставању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закону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уређује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рачуноводство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667B9909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случају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поднесе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наведену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документацију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наведеним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роковима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ће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донети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решење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основу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података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врши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упис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регистар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основу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података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других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2EAAE508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6" w:name="clan_7"/>
      <w:bookmarkEnd w:id="6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7 </w:t>
      </w:r>
    </w:p>
    <w:p w14:paraId="6D2139EC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дужан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сваку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насталу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промену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утиче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настанак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промену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престанак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организационој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јединици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пореску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администрацију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року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15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настанка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промене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2EB800A8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7" w:name="clan_8"/>
      <w:bookmarkEnd w:id="7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8 </w:t>
      </w:r>
    </w:p>
    <w:p w14:paraId="63FDF27D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Образац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утврђивање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управа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пореску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администрацију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204C8DDD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Обрасци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</w:p>
    <w:p w14:paraId="33EB12B4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истицање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(ПП ЛКТ) </w:t>
      </w:r>
    </w:p>
    <w:p w14:paraId="5C395ECD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средстава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(ПП ЛКТ-ЗИ)</w:t>
      </w:r>
    </w:p>
    <w:p w14:paraId="1FF6CF64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саставни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одлуке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5A7EFEE7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8" w:name="clan_9"/>
      <w:bookmarkEnd w:id="8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9 </w:t>
      </w:r>
    </w:p>
    <w:p w14:paraId="5505BA02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</w:p>
    <w:p w14:paraId="57BDD39D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основу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решења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пореске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администрације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</w:p>
    <w:p w14:paraId="286C15AA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приликом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регистрације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5587D640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9" w:name="clan_10"/>
      <w:bookmarkEnd w:id="9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10</w:t>
      </w:r>
    </w:p>
    <w:p w14:paraId="573337A1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коришћење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предмета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стране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државних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организација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организација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самоуправе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јавних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служби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финансирају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буџета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62EA0848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10" w:name="clan_11"/>
      <w:bookmarkEnd w:id="10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11</w:t>
      </w:r>
    </w:p>
    <w:p w14:paraId="474CA878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погледу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начина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утврђивања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поступка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лековима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застарелости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наплате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начина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рокова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камате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повраћаја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принудне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наплате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осталог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што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посебно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уређено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одлуком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примењују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одредбе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Закона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пореском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поступку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пореској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администрацији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62E7D62A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11" w:name="clan_12"/>
      <w:bookmarkEnd w:id="11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12</w:t>
      </w:r>
    </w:p>
    <w:p w14:paraId="730FE98A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Уплата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прихода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врши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одговарајуће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уплатне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рачуне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јавних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прихода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прописане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Правилником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условима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начину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вођења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рачуна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уплату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јавних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прихода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распоред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средстава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рачуна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("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гласник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РС",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16/2016, 49/2016, 107/2016, 46/2017, 114/2017, 36/2018, 44/2018 -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закон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104/2018, 14/2019, 33/2019, 68/2019, 151/2020, 19/2021, 10/2022, 144/2022, 25/2023, 83/2023, 118/2023, 26/2024 и 55/2024). </w:t>
      </w:r>
    </w:p>
    <w:p w14:paraId="447F3CA2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12" w:name="clan_13"/>
      <w:bookmarkEnd w:id="12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13</w:t>
      </w:r>
    </w:p>
    <w:p w14:paraId="6045E319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Државни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организације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територијалне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аутономије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самоуправе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јавне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службе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организације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издају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одобрења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коришћење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предмета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воде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евиденцију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коришћењу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предмета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дужни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службеној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дужности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доставе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организационој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јединици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акте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значаја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утврђивање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наплату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74262486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13" w:name="clan_14"/>
      <w:bookmarkEnd w:id="13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14 </w:t>
      </w:r>
    </w:p>
    <w:p w14:paraId="76541ED7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Новчаном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казном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износу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75.000,00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динара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казниће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прекршај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</w:p>
    <w:p w14:paraId="1430092E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1)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поднесе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поднесе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прописаном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року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утврђивање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основу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средстава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5.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Одлуке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); </w:t>
      </w:r>
    </w:p>
    <w:p w14:paraId="11DCF2EB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2)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поднесе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поднесе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прописаном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року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утврђивање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основу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истицања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6.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став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Одлуке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); </w:t>
      </w:r>
    </w:p>
    <w:p w14:paraId="645FE69A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3)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достави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достави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прописаном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року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финансијски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извештај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обавештење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разврставању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6.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став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3.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Одлуке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). </w:t>
      </w:r>
    </w:p>
    <w:p w14:paraId="4E1E9BDA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4)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прописаном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року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сваку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насталу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промену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утиче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настанак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промену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престанак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7.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Одлуке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). </w:t>
      </w:r>
    </w:p>
    <w:p w14:paraId="074DE858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прекршај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члана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казниће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одговорно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новчаном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казном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10.000,00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динара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52D72BE5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прекршај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члана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казниће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предузетник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новчаном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казном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35.000,00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динара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23BBC550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прекршаје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члана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инспектор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утврђивање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контролу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наплату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изворних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јавних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прихода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издаје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прекршајни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налог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складу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законом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758D4EB9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14" w:name="clan_15"/>
      <w:bookmarkEnd w:id="14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15 </w:t>
      </w:r>
    </w:p>
    <w:p w14:paraId="4912060B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Саставни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одлуке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тарифа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утврђена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поједина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предмете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537EB122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15" w:name="clan_16"/>
      <w:bookmarkEnd w:id="15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16</w:t>
      </w:r>
    </w:p>
    <w:p w14:paraId="3E5E36B9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почетка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примене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одлуке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престаје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важи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Одлука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таксама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("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",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26/2013, 20/2014, 22/2015, 26/2016 и 2/2017). </w:t>
      </w:r>
    </w:p>
    <w:p w14:paraId="3F663B16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16" w:name="clan_17"/>
      <w:bookmarkEnd w:id="16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17</w:t>
      </w:r>
    </w:p>
    <w:p w14:paraId="4FF599B3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одлука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ступа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снагу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примењује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осмог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објављивања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"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Службеном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листу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". </w:t>
      </w:r>
    </w:p>
    <w:p w14:paraId="1C1658A6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 </w:t>
      </w:r>
    </w:p>
    <w:p w14:paraId="20538C02" w14:textId="77777777" w:rsidR="00F75D28" w:rsidRPr="00F75D28" w:rsidRDefault="00F75D28" w:rsidP="00F75D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</w:pPr>
      <w:proofErr w:type="spellStart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Самостални</w:t>
      </w:r>
      <w:proofErr w:type="spellEnd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Одлуке</w:t>
      </w:r>
      <w:proofErr w:type="spellEnd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измени</w:t>
      </w:r>
      <w:proofErr w:type="spellEnd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</w:t>
      </w:r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br/>
      </w:r>
      <w:proofErr w:type="spellStart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Одлуке</w:t>
      </w:r>
      <w:proofErr w:type="spellEnd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локалним</w:t>
      </w:r>
      <w:proofErr w:type="spellEnd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комуналним</w:t>
      </w:r>
      <w:proofErr w:type="spellEnd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таксама</w:t>
      </w:r>
      <w:proofErr w:type="spellEnd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територију</w:t>
      </w:r>
      <w:proofErr w:type="spellEnd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Чачка</w:t>
      </w:r>
      <w:proofErr w:type="spellEnd"/>
    </w:p>
    <w:p w14:paraId="402EE8F1" w14:textId="77777777" w:rsidR="00F75D28" w:rsidRPr="00F75D28" w:rsidRDefault="00F75D28" w:rsidP="00F75D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("</w:t>
      </w:r>
      <w:proofErr w:type="spellStart"/>
      <w:r w:rsidRPr="00F75D2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Сл</w:t>
      </w:r>
      <w:proofErr w:type="spellEnd"/>
      <w:r w:rsidRPr="00F75D2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. </w:t>
      </w:r>
      <w:proofErr w:type="spellStart"/>
      <w:r w:rsidRPr="00F75D2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лист</w:t>
      </w:r>
      <w:proofErr w:type="spellEnd"/>
      <w:r w:rsidRPr="00F75D2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", </w:t>
      </w:r>
      <w:proofErr w:type="spellStart"/>
      <w:r w:rsidRPr="00F75D2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бр</w:t>
      </w:r>
      <w:proofErr w:type="spellEnd"/>
      <w:r w:rsidRPr="00F75D28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 xml:space="preserve">. 31/2020) </w:t>
      </w:r>
    </w:p>
    <w:p w14:paraId="62AB3293" w14:textId="77777777" w:rsidR="00F75D28" w:rsidRPr="00F75D28" w:rsidRDefault="00F75D28" w:rsidP="00F75D28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Члан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2 </w:t>
      </w:r>
    </w:p>
    <w:p w14:paraId="5CC0271D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Ова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одлука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ступа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снагу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осмог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објављивања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"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Службеном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листу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". </w:t>
      </w:r>
    </w:p>
    <w:p w14:paraId="52A96B16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  </w:t>
      </w:r>
    </w:p>
    <w:p w14:paraId="487E05E1" w14:textId="77777777" w:rsidR="00F75D28" w:rsidRPr="00F75D28" w:rsidRDefault="00F75D28" w:rsidP="00F75D2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1"/>
          <w:szCs w:val="31"/>
          <w14:ligatures w14:val="none"/>
        </w:rPr>
      </w:pPr>
      <w:bookmarkStart w:id="17" w:name="str_1"/>
      <w:bookmarkEnd w:id="17"/>
      <w:r w:rsidRPr="00F75D28">
        <w:rPr>
          <w:rFonts w:ascii="Arial" w:eastAsia="Times New Roman" w:hAnsi="Arial" w:cs="Arial"/>
          <w:b/>
          <w:bCs/>
          <w:kern w:val="0"/>
          <w:sz w:val="31"/>
          <w:szCs w:val="31"/>
          <w14:ligatures w14:val="none"/>
        </w:rPr>
        <w:t xml:space="preserve">ТАКСЕНА ТАРИФА </w:t>
      </w:r>
    </w:p>
    <w:p w14:paraId="25B46F3E" w14:textId="77777777" w:rsidR="00F75D28" w:rsidRPr="00F75D28" w:rsidRDefault="00F75D28" w:rsidP="00F75D2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18" w:name="str_2"/>
      <w:bookmarkEnd w:id="18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Тарифни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број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1. </w:t>
      </w:r>
    </w:p>
    <w:p w14:paraId="161C6396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1.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истицање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даљем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тексту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годишњем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нивоу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зависности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регистроване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претежне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односно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сходно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Закону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Уредби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класификацији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а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обављање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издаје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одобрење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односно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сертификат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а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регистрована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претежна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величине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смислу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закона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уређује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рачуноводство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зонама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налази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објекат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којем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истакнута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</w:p>
    <w:p w14:paraId="5A251E99" w14:textId="77777777" w:rsidR="00F75D28" w:rsidRPr="00F75D28" w:rsidRDefault="00F75D28" w:rsidP="00F75D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И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група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: </w:t>
      </w:r>
    </w:p>
    <w:p w14:paraId="5D13BAC2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Банкарство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</w:p>
    <w:p w14:paraId="58F082E3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Осигурање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имовине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</w:p>
    <w:p w14:paraId="1DDA1336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Трговина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нафтом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дериватима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нафте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</w:p>
    <w:p w14:paraId="521FC2CD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Телефонске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</w:p>
    <w:p w14:paraId="2781178E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Електропривреда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</w:p>
    <w:p w14:paraId="1E715756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Поштанске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активности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комерцијалног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сервиса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</w:p>
    <w:p w14:paraId="7D305348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трговине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велико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дуванским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</w:p>
    <w:p w14:paraId="41F7F794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цемента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F75D28" w:rsidRPr="00F75D28" w14:paraId="01B3A703" w14:textId="77777777" w:rsidTr="00F75D2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1BD82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Екстра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00EC6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421.782,00 </w:t>
            </w:r>
          </w:p>
        </w:tc>
      </w:tr>
      <w:tr w:rsidR="00F75D28" w:rsidRPr="00F75D28" w14:paraId="3E7743DE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AD2D6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1.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75726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383.381,00 </w:t>
            </w:r>
          </w:p>
        </w:tc>
      </w:tr>
      <w:tr w:rsidR="00F75D28" w:rsidRPr="00F75D28" w14:paraId="2F397DCB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36741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2.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CE6A7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370.015,00 </w:t>
            </w:r>
          </w:p>
        </w:tc>
      </w:tr>
      <w:tr w:rsidR="00F75D28" w:rsidRPr="00F75D28" w14:paraId="56AD26C6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BB3F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478D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357.255,00 </w:t>
            </w:r>
          </w:p>
        </w:tc>
      </w:tr>
      <w:tr w:rsidR="00F75D28" w:rsidRPr="00F75D28" w14:paraId="4D698F23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56321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4.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8C3B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344.496,00 </w:t>
            </w:r>
          </w:p>
        </w:tc>
      </w:tr>
      <w:tr w:rsidR="00F75D28" w:rsidRPr="00F75D28" w14:paraId="0C88C235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50003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Ван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4.те</w:t>
            </w:r>
            <w:proofErr w:type="gram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E6C2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318.978,00 </w:t>
            </w:r>
          </w:p>
        </w:tc>
      </w:tr>
    </w:tbl>
    <w:p w14:paraId="758F2625" w14:textId="77777777" w:rsidR="00F75D28" w:rsidRPr="00F75D28" w:rsidRDefault="00F75D28" w:rsidP="00F75D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II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група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: </w:t>
      </w:r>
    </w:p>
    <w:p w14:paraId="0FB750CE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Мобилна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телефонија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</w:p>
    <w:p w14:paraId="06A3AFF4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Казина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коцкарнице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кладионице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бинго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сале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пружање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коцкарских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</w:p>
    <w:p w14:paraId="50A1D132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Ноћни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барови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дискотеке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F75D28" w:rsidRPr="00F75D28" w14:paraId="0A931F52" w14:textId="77777777" w:rsidTr="00F75D2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355C9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Екстра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EEC11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547.367,00 </w:t>
            </w:r>
          </w:p>
        </w:tc>
      </w:tr>
      <w:tr w:rsidR="00F75D28" w:rsidRPr="00F75D28" w14:paraId="4030BE61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549C8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1.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C51F4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497.605,00 </w:t>
            </w:r>
          </w:p>
        </w:tc>
      </w:tr>
      <w:tr w:rsidR="00F75D28" w:rsidRPr="00F75D28" w14:paraId="4CFD9513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466A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2.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3FA14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480.593,00 </w:t>
            </w:r>
          </w:p>
        </w:tc>
      </w:tr>
      <w:tr w:rsidR="00F75D28" w:rsidRPr="00F75D28" w14:paraId="066B8F85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CE281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A3838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464.431,00 </w:t>
            </w:r>
          </w:p>
        </w:tc>
      </w:tr>
      <w:tr w:rsidR="00F75D28" w:rsidRPr="00F75D28" w14:paraId="5AD10078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D8641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4.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45A81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447.784,00 </w:t>
            </w:r>
          </w:p>
        </w:tc>
      </w:tr>
      <w:tr w:rsidR="00F75D28" w:rsidRPr="00F75D28" w14:paraId="54D57EFA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BF44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Ван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4.те</w:t>
            </w:r>
            <w:proofErr w:type="gram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81FB7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414.670,00 </w:t>
            </w:r>
          </w:p>
        </w:tc>
      </w:tr>
    </w:tbl>
    <w:p w14:paraId="1D75324F" w14:textId="77777777" w:rsidR="00F75D28" w:rsidRPr="00F75D28" w:rsidRDefault="00F75D28" w:rsidP="00F75D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III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група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све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остале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делатности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F75D28" w:rsidRPr="00F75D28" w14:paraId="3D754FB9" w14:textId="77777777" w:rsidTr="00F75D2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7D359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Екстра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3BE39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66.700,00 </w:t>
            </w:r>
          </w:p>
        </w:tc>
      </w:tr>
      <w:tr w:rsidR="00F75D28" w:rsidRPr="00F75D28" w14:paraId="096187BF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03CD4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1.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A7BF0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60.636,00 </w:t>
            </w:r>
          </w:p>
        </w:tc>
      </w:tr>
      <w:tr w:rsidR="00F75D28" w:rsidRPr="00F75D28" w14:paraId="5E93789F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170E4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2.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4D81C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54.499,00 </w:t>
            </w:r>
          </w:p>
        </w:tc>
      </w:tr>
      <w:tr w:rsidR="00F75D28" w:rsidRPr="00F75D28" w14:paraId="6B5A88D6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74C6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B8ADA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48.485,00 </w:t>
            </w:r>
          </w:p>
        </w:tc>
      </w:tr>
      <w:tr w:rsidR="00F75D28" w:rsidRPr="00F75D28" w14:paraId="28BD24EF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06A10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4.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1A614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42.409,00 </w:t>
            </w:r>
          </w:p>
        </w:tc>
      </w:tr>
      <w:tr w:rsidR="00F75D28" w:rsidRPr="00F75D28" w14:paraId="08080140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EAC3A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Ван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4.те</w:t>
            </w:r>
            <w:proofErr w:type="gram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зоне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2313F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36.333,00 </w:t>
            </w:r>
          </w:p>
        </w:tc>
      </w:tr>
    </w:tbl>
    <w:p w14:paraId="3624B30A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НАПОМЕНА:</w:t>
      </w:r>
    </w:p>
    <w:p w14:paraId="38F568B7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1.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смислу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закона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јесте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сваки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истакнути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назив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упућује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физичко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обавља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одређену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без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обзира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обележје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налази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ходнику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дворишту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степеништу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улазним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вратима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другом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месту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зграде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бараке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где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налази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просторија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основна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занимање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обавља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39BF0567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2.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истицање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дужан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поднесе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утврђивање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основу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организационој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јединици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пореску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администрацију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року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15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издавања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решења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регистрацији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стране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703F20D9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3.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истицање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поднео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подноси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случају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промене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података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садржаних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односе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промену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седишта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40DC1C45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4.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више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истакнутих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објекту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само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57354B39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5.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седиште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сваку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јединицу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истицање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територији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3293A07A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6.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сваку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истакнуту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објекта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сваку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истакнуту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648028D5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7.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Износ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тарифног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умањује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</w:p>
    <w:p w14:paraId="23AB5C48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седиште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територији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а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Закону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рачуноводству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разврстана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5%, а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мала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15%. </w:t>
      </w:r>
    </w:p>
    <w:p w14:paraId="7FFFF504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предузетницима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40%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сваки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објекат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опорезивања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1967A9DE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предузетницима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обављају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објектима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типа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киоска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40% </w:t>
      </w:r>
    </w:p>
    <w:p w14:paraId="38EC769A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предузетницима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обављају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тезгама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45%. </w:t>
      </w:r>
    </w:p>
    <w:p w14:paraId="628EBA53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адвокатима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25% </w:t>
      </w:r>
    </w:p>
    <w:p w14:paraId="188EEDD4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обвезницима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истицање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обављају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издвојеним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јединицама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25%.</w:t>
      </w:r>
    </w:p>
    <w:p w14:paraId="3E46922B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8.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закону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уређује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рачуноводство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разврстана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предузетници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мала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годишњи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приход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50.000.000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динара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предузетника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обављају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банкарства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осигурања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имовине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трговине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нафтом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дериватима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нафте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трговине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велико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дуванским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цемента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поштанских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мобилних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телефонских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електропривреде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казина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коцкарница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кладионица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бинго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пружања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коцкарских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ноћних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барова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дискотека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),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фирмарину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годишњем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нивоу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највише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просечне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зараде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остварене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територији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34623F48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закону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уређује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рачуноводство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разврстана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велика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обављају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банкарства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осигурања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имовине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трговине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нафтом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дериватима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нафте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трговине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велико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дуванским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цемента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поштанских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мобилних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телефонских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електропривреде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казина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коцкарница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кладионица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бинго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пружања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коцкарских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ноћних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барова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дискотека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),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фирмарину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годишњем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нивоу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највише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просечне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зараде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остварене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територији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382287D2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закону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уређује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рачуноводство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разврстана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велика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мала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смислу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закона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уређује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рачуноводство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предузетници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а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обављају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банкарства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осигурања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имовине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трговине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нафтом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дериватима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нафте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трговине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велико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дуванским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цемента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поштанских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мобилних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телефонских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електропривреде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казина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коцкарница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кладионица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бинго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пружања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коцкарских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ноћних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барова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дискотека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фирмарину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годишњем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нивоу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десет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просечних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остварених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територији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1FC154E3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просечном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зарадом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сматра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просечна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запосленом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остварена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територији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периоду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јануар-август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претходи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фирмарина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подацима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републичког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статистике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56E25AE3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9.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Предузетници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закону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уређује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рачуноводство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разврстана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мала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предузетника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обављају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банкарства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осигурања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имовине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трговине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нафтом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нафтним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дериватима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нафте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трговине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велико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дуванским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производње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цемента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поштанских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мобилних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телефонских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електропривреде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казина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коцкарница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кладионица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бинго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пружања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коцкарских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ноћних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барова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дискотека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), а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годишњи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приход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50.000.000,00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динара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истицање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44C588D0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тарифног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ослобођени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државни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јединице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самоуправе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јавне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службе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чији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оснивач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Чачак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чији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материјални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трошкови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финансирају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буџета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основне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школе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установе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социјалне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заштите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установе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здравствене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заштите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друга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финансирају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буџета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предузетници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обављају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области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старих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заната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кројачи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народних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одела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ужари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казанџије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димничари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лончарски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грнчарски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поткивачки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оштрачки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фрула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двојница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гусала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осталих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народних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инструмената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јорганџијски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опанчарски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бунарџијски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сарачки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оптичарски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предмета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естетско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обележје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народног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стваралаштва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слично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смислу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члана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3. и 4.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Правилника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одређивању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сматрају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старим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уметничким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занатима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односно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пословима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домаће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радиности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начину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сертификовања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вођењу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посебне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евиденције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издатих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сертификата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("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гласник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РС",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56/2012). </w:t>
      </w:r>
    </w:p>
    <w:p w14:paraId="691E5EF0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Спортски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клубови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удружења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грађана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хуманитарне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организације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остале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недобитне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организације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ослобођени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4D2D130D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Предузетницима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привремено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одјавили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обављање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делатности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умањује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годишњи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износ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тарифног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време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трајања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привремене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одјаве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(с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време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трајања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привремене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одјаве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фирма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истакнута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). </w:t>
      </w:r>
    </w:p>
    <w:p w14:paraId="5540A8D9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10.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тарифног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основу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задужења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пореску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администрацију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месечно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висини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1/12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годишњег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износа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15.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месецу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1"/>
        <w:gridCol w:w="1983"/>
        <w:gridCol w:w="2550"/>
      </w:tblGrid>
      <w:tr w:rsidR="00F75D28" w:rsidRPr="00F75D28" w14:paraId="488D897E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A5F7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Уплатни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рачун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DB292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Број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уплатног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рачуна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8706A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Позив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број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одобрења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F75D28" w:rsidRPr="00F75D28" w14:paraId="646E94A3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091B1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Комунална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такса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истицање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фирми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пословном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простору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23B38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840-716111843-35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6C05D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решењу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надлежног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органа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01491DCA" w14:textId="77777777" w:rsidR="00F75D28" w:rsidRPr="00F75D28" w:rsidRDefault="00F75D28" w:rsidP="00F75D2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19" w:name="str_3"/>
      <w:bookmarkEnd w:id="19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Тарифни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број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2.</w:t>
      </w:r>
    </w:p>
    <w:p w14:paraId="6D08896D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1.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моторних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друмских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прикључних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пољопривредних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машина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приликом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регистрације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годишњем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износу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6"/>
        <w:gridCol w:w="7468"/>
        <w:gridCol w:w="950"/>
      </w:tblGrid>
      <w:tr w:rsidR="00F75D28" w:rsidRPr="00F75D28" w14:paraId="3C1FCC80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CF988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Редни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број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C12D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Врста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возила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8D568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Износ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таксе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F75D28" w:rsidRPr="00F75D28" w14:paraId="620F5436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51C8C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4FCB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ВРСТА Н - ТЕРЕТНА ВОЗИЛА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04B8F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  </w:t>
            </w:r>
          </w:p>
        </w:tc>
      </w:tr>
      <w:tr w:rsidR="00F75D28" w:rsidRPr="00F75D28" w14:paraId="2264CD0B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E7C5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54F48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камионе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2 т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носивости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F34A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2.460 </w:t>
            </w:r>
          </w:p>
        </w:tc>
      </w:tr>
      <w:tr w:rsidR="00F75D28" w:rsidRPr="00F75D28" w14:paraId="009C0AF9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AE847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lastRenderedPageBreak/>
              <w:t xml:space="preserve">1.2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DB7F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камионе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од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2т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5 т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носивости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88111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3.280 </w:t>
            </w:r>
          </w:p>
        </w:tc>
      </w:tr>
      <w:tr w:rsidR="00F75D28" w:rsidRPr="00F75D28" w14:paraId="6525E4E8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DA2D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DB8C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камионе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од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5 т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12 т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носивости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75EA0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5.720 </w:t>
            </w:r>
          </w:p>
        </w:tc>
      </w:tr>
      <w:tr w:rsidR="00F75D28" w:rsidRPr="00F75D28" w14:paraId="17BB5BAA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B8EBD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FEF89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камионе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преко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12 т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носивости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50C72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8.170 </w:t>
            </w:r>
          </w:p>
        </w:tc>
      </w:tr>
      <w:tr w:rsidR="00F75D28" w:rsidRPr="00F75D28" w14:paraId="2E54C40E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8521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2F5B4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теретне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и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радне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приколице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путничке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аутомобиле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8EC0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810 </w:t>
            </w:r>
          </w:p>
        </w:tc>
      </w:tr>
      <w:tr w:rsidR="00F75D28" w:rsidRPr="00F75D28" w14:paraId="5F25B73E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2274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A831F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M1 - ПУТНИЧКО ВОЗИЛО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52769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  </w:t>
            </w:r>
          </w:p>
        </w:tc>
      </w:tr>
      <w:tr w:rsidR="00F75D28" w:rsidRPr="00F75D28" w14:paraId="5E9EE276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3A608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558F2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1.150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22629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810 </w:t>
            </w:r>
          </w:p>
        </w:tc>
      </w:tr>
      <w:tr w:rsidR="00F75D28" w:rsidRPr="00F75D28" w14:paraId="5C0D1131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2B478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20CC7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Преко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1.150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1.300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0F614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1.620 </w:t>
            </w:r>
          </w:p>
        </w:tc>
      </w:tr>
      <w:tr w:rsidR="00F75D28" w:rsidRPr="00F75D28" w14:paraId="774357E6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959EA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B7367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Преко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1.300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1.600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6E09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2.450 </w:t>
            </w:r>
          </w:p>
        </w:tc>
      </w:tr>
      <w:tr w:rsidR="00F75D28" w:rsidRPr="00F75D28" w14:paraId="754D8B5E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FF83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2DC01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Преко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1.600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2.000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EF3D9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3.280 </w:t>
            </w:r>
          </w:p>
        </w:tc>
      </w:tr>
      <w:tr w:rsidR="00F75D28" w:rsidRPr="00F75D28" w14:paraId="259FE37F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8968D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46D60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Преко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2.000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3.000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4C0A8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4.940 </w:t>
            </w:r>
          </w:p>
        </w:tc>
      </w:tr>
      <w:tr w:rsidR="00F75D28" w:rsidRPr="00F75D28" w14:paraId="382AD9B7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73949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D5733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Преко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3.000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7036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8.170 </w:t>
            </w:r>
          </w:p>
        </w:tc>
      </w:tr>
      <w:tr w:rsidR="00F75D28" w:rsidRPr="00F75D28" w14:paraId="595B2BB9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F2402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55B76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ВРСТА L - МОПЕДИ, МОТОЦИКЛИ, ТРИЦИКЛИ И ЧЕТВОРОЦИКЛИ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28592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  </w:t>
            </w:r>
          </w:p>
        </w:tc>
      </w:tr>
      <w:tr w:rsidR="00F75D28" w:rsidRPr="00F75D28" w14:paraId="3B161437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93173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4.1.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AC912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125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0652D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660 </w:t>
            </w:r>
          </w:p>
        </w:tc>
      </w:tr>
      <w:tr w:rsidR="00F75D28" w:rsidRPr="00F75D28" w14:paraId="44C59501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2438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4.2.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602DD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преко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125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250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8AA2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970 </w:t>
            </w:r>
          </w:p>
        </w:tc>
      </w:tr>
      <w:tr w:rsidR="00F75D28" w:rsidRPr="00F75D28" w14:paraId="5DF66849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22F96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4.3.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880B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преко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250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500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F6DDD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1.620 </w:t>
            </w:r>
          </w:p>
        </w:tc>
      </w:tr>
      <w:tr w:rsidR="00F75D28" w:rsidRPr="00F75D28" w14:paraId="229A29B9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BB0C7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4.4.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9B096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преко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500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1.200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852B7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1.990 </w:t>
            </w:r>
          </w:p>
        </w:tc>
      </w:tr>
      <w:tr w:rsidR="00F75D28" w:rsidRPr="00F75D28" w14:paraId="06E9D1BD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F5F9F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4.5.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42032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преко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1.200 цм</w:t>
            </w:r>
            <w:r w:rsidRPr="00F75D28">
              <w:rPr>
                <w:rFonts w:ascii="Arial" w:eastAsia="Times New Roman" w:hAnsi="Arial" w:cs="Arial"/>
                <w:kern w:val="0"/>
                <w:sz w:val="15"/>
                <w:szCs w:val="15"/>
                <w:vertAlign w:val="superscrip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3D1F1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2.450 </w:t>
            </w:r>
          </w:p>
        </w:tc>
      </w:tr>
      <w:tr w:rsidR="00F75D28" w:rsidRPr="00F75D28" w14:paraId="0C3A8576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FE234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5B49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M2 и M3 - АУТОБУС И КОМБИ БУСЕВИ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ECF10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  </w:t>
            </w:r>
          </w:p>
        </w:tc>
      </w:tr>
      <w:tr w:rsidR="00F75D28" w:rsidRPr="00F75D28" w14:paraId="76D8E40F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EC208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66F4C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-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5 т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носивости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регистрованом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седишту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8678A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70 </w:t>
            </w:r>
          </w:p>
        </w:tc>
      </w:tr>
      <w:tr w:rsidR="00F75D28" w:rsidRPr="00F75D28" w14:paraId="4EE15274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21CDD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A4F95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-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преко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5 т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носивости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регистрованом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седишту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BE65D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70 </w:t>
            </w:r>
          </w:p>
        </w:tc>
      </w:tr>
      <w:tr w:rsidR="00F75D28" w:rsidRPr="00F75D28" w14:paraId="2B342BDD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50FB9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8EF0A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Врста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О -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прикључна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возила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теретне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приколице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полуприколице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и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специјалне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теретне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приколице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превоз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одређених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врста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терета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753BC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  </w:t>
            </w:r>
          </w:p>
        </w:tc>
      </w:tr>
      <w:tr w:rsidR="00F75D28" w:rsidRPr="00F75D28" w14:paraId="7147EFFF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38B97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6.1.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ECC36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 т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носивости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D21D7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670 </w:t>
            </w:r>
          </w:p>
        </w:tc>
      </w:tr>
      <w:tr w:rsidR="00F75D28" w:rsidRPr="00F75D28" w14:paraId="5E39B6B5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F00FF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6.2.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61E1C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од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 т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5 т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носивости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E1288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1.140 </w:t>
            </w:r>
          </w:p>
        </w:tc>
      </w:tr>
      <w:tr w:rsidR="00F75D28" w:rsidRPr="00F75D28" w14:paraId="75577A8B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32CA5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6.3.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4AF8D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од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5 т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10 т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носивости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F867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1.550 </w:t>
            </w:r>
          </w:p>
        </w:tc>
      </w:tr>
      <w:tr w:rsidR="00F75D28" w:rsidRPr="00F75D28" w14:paraId="2C4DD445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5207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6.4.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BDD6F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од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10 т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12 т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носивости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AC17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2.150 </w:t>
            </w:r>
          </w:p>
        </w:tc>
      </w:tr>
      <w:tr w:rsidR="00F75D28" w:rsidRPr="00F75D28" w14:paraId="37B88679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51835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6.5.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E8B7C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носивости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преко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12 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9F2E8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3.280 </w:t>
            </w:r>
          </w:p>
        </w:tc>
      </w:tr>
      <w:tr w:rsidR="00F75D28" w:rsidRPr="00F75D28" w14:paraId="464D66E4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BA1C7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A36A0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Вучна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возила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тегљачи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)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чија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је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снага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мотора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E37B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  </w:t>
            </w:r>
          </w:p>
        </w:tc>
      </w:tr>
      <w:tr w:rsidR="00F75D28" w:rsidRPr="00F75D28" w14:paraId="1C41F69F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114C4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7.1.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6782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66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киловата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D0913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2.450 </w:t>
            </w:r>
          </w:p>
        </w:tc>
      </w:tr>
      <w:tr w:rsidR="00F75D28" w:rsidRPr="00F75D28" w14:paraId="00306449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EE7A3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7.2.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922B1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Од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66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96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киловата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4CF45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3.280 </w:t>
            </w:r>
          </w:p>
        </w:tc>
      </w:tr>
      <w:tr w:rsidR="00F75D28" w:rsidRPr="00F75D28" w14:paraId="14545332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3EC4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7.3.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D577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од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96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132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киловата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20E87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4.130 </w:t>
            </w:r>
          </w:p>
        </w:tc>
      </w:tr>
      <w:tr w:rsidR="00F75D28" w:rsidRPr="00F75D28" w14:paraId="04DD42EF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86C46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7.4.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E7B5F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од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132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177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киловата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F98FF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4.940 </w:t>
            </w:r>
          </w:p>
        </w:tc>
      </w:tr>
      <w:tr w:rsidR="00F75D28" w:rsidRPr="00F75D28" w14:paraId="72E74EFE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D8B90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7.5.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FEAC2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преко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177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DC6FA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6.560 </w:t>
            </w:r>
          </w:p>
        </w:tc>
      </w:tr>
      <w:tr w:rsidR="00F75D28" w:rsidRPr="00F75D28" w14:paraId="1FEBDC1D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E4EE0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4B0B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радна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возила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специјална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адаптирана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возила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превоз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реквизита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путујуће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забаве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радње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и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атестирана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специјализована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возила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превоз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пчела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CC91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1.620 </w:t>
            </w:r>
          </w:p>
        </w:tc>
      </w:tr>
    </w:tbl>
    <w:p w14:paraId="36680D11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НАПОМЕНА: </w:t>
      </w:r>
    </w:p>
    <w:p w14:paraId="50CA186C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1.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носивост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друмског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теретног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теретне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приколице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полуприколице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изражена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целим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тонама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накнада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носивост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1/2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тоне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висини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50%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износа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одређеног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целу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тону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а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носивост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1/2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тоне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тоне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износу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одређеном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целу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тону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7417B981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2.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моторних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умањује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2%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сваку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старости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с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што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укупно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умањење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може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пређе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50%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прописане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висине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4D3474A3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3.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тарифног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</w:p>
    <w:p w14:paraId="706B64E8" w14:textId="77777777" w:rsidR="00F75D28" w:rsidRPr="00F75D28" w:rsidRDefault="00F75D28" w:rsidP="00F75D28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1)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особе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инвалидитетом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80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више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процената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телесног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оштећења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њено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прво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региструје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ратни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војни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инвалиди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без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обзира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степен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инвалидитета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</w:p>
    <w:p w14:paraId="630B145C" w14:textId="77777777" w:rsidR="00F75D28" w:rsidRPr="00F75D28" w:rsidRDefault="00F75D28" w:rsidP="00F75D28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2)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особе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инвалидитетом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постоји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телесно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оштећење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последицу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неспособност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доњих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екстремитета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ногу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60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више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процената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њено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прво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региструје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</w:p>
    <w:p w14:paraId="3B1905D5" w14:textId="77777777" w:rsidR="00F75D28" w:rsidRPr="00F75D28" w:rsidRDefault="00F75D28" w:rsidP="00F75D28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3)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родитељи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вишеструко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ометене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деце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отвореној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заштити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односно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родитељи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непосредно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брину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њихово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односно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име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њих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прво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региструје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</w:p>
    <w:p w14:paraId="4A01923F" w14:textId="77777777" w:rsidR="00F75D28" w:rsidRPr="00F75D28" w:rsidRDefault="00F75D28" w:rsidP="00F75D28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4)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организације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особа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инвалидитетом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основане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циљем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пружања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помоћи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инвалидитетом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регистроване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складу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законом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прилагођена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искључиво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превоз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њихових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чланова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; </w:t>
      </w:r>
    </w:p>
    <w:p w14:paraId="39545ADF" w14:textId="77777777" w:rsidR="00F75D28" w:rsidRPr="00F75D28" w:rsidRDefault="00F75D28" w:rsidP="00F75D28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испуњавају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услове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остваривање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тачке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подносе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доказе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испуњености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услова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годину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врши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регистрација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742EEAA2" w14:textId="77777777" w:rsidR="00F75D28" w:rsidRPr="00F75D28" w:rsidRDefault="00F75D28" w:rsidP="00F75D28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5)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ватрогасна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МУП-а,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санитетска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изношење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смећа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улица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46EC4FF2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4.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тарифног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износу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50%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добровољних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давалаца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крви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путничка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возила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77"/>
        <w:gridCol w:w="2072"/>
        <w:gridCol w:w="1695"/>
      </w:tblGrid>
      <w:tr w:rsidR="00F75D28" w:rsidRPr="00F75D28" w14:paraId="76800B04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E3EF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Уплатни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рачун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C2CAD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Број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уплатног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рачуна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AD591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Позив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број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одобрења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F75D28" w:rsidRPr="00F75D28" w14:paraId="09ABB842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39583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Комунална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такса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држање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моторних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друмских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и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прикључних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возила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осим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пољопривредних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возила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и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машина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FB7C36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840-714513843-04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8F13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97 93 034 </w:t>
            </w:r>
          </w:p>
        </w:tc>
      </w:tr>
    </w:tbl>
    <w:p w14:paraId="1BC88290" w14:textId="77777777" w:rsidR="00F75D28" w:rsidRPr="00F75D28" w:rsidRDefault="00F75D28" w:rsidP="00F75D28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20" w:name="str_4"/>
      <w:bookmarkEnd w:id="20"/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Тарифни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>број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14:ligatures w14:val="none"/>
        </w:rPr>
        <w:t xml:space="preserve"> 3.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62"/>
        <w:gridCol w:w="1682"/>
      </w:tblGrid>
      <w:tr w:rsidR="00F75D28" w:rsidRPr="00F75D28" w14:paraId="0DC9EC93" w14:textId="77777777" w:rsidTr="00F75D28">
        <w:trPr>
          <w:tblCellSpacing w:w="0" w:type="dxa"/>
        </w:trPr>
        <w:tc>
          <w:tcPr>
            <w:tcW w:w="4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585D5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држање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средстава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игру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("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забавне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игре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")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утврђује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се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такса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дневно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-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апарату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забавне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игре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у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износу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од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C2D12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26,00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динара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</w:tbl>
    <w:p w14:paraId="16857F7F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НАПОМЕНА:</w:t>
      </w:r>
    </w:p>
    <w:p w14:paraId="1A78F88A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 xml:space="preserve">1.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забавним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играма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сматрају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рачунарима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симулаторима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видео-аутоматима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флиперима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другим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сличним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направама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стављају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погон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помоћу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новца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жетона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пикадо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билијар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друге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сличне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учествује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наплату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а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учесник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може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остварити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добитак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новцу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стварима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услугама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правима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већ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више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бесплатних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игара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исте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врсте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2DE391F6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2.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тарифног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корисник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правно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или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предузетник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-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физичко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средства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забавне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)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простору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0E635D51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3.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средстава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("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забавне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")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дужан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поднесе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утврђивање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основу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организационој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јединици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надлежној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пореску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администрацију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року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15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од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почетка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средстава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14FFA2D4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4.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Ако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средстава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("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забавне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")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није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поднео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пријаву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утврђивање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обавезе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основу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тарифном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броју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организациона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јединица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пореску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администрацију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доноси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решење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којим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утврђује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и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износ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комуналне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основу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записника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инспектора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организационе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јединице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градске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управе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локалну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пореску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администрацију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а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накнаде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дужан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накнаду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престанка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средстава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игру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када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дужан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достави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писмену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изјаву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надлежном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пореском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органу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о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престанку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држања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ових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средстава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p w14:paraId="2E164D8C" w14:textId="77777777" w:rsidR="00F75D28" w:rsidRPr="00F75D28" w:rsidRDefault="00F75D28" w:rsidP="00F75D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5.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Обвезник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је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дужан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таксу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из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овог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тарифног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броја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плаћа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до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15.-ог у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месецу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за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претходни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>месец</w:t>
      </w:r>
      <w:proofErr w:type="spellEnd"/>
      <w:r w:rsidRPr="00F75D2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.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55"/>
        <w:gridCol w:w="1968"/>
        <w:gridCol w:w="2521"/>
      </w:tblGrid>
      <w:tr w:rsidR="00F75D28" w:rsidRPr="00F75D28" w14:paraId="6506D336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9C5FC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Уплатни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рачун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D0B06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Број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уплатног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рачуна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C9AAE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Позив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број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одобрења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F75D28" w:rsidRPr="00F75D28" w14:paraId="6789B702" w14:textId="77777777" w:rsidTr="00F75D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19BD4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Комунална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такса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држање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средстава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игру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("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забавне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игре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")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3EC5B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840-714572843-29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F3ED2" w14:textId="77777777" w:rsidR="00F75D28" w:rsidRPr="00F75D28" w:rsidRDefault="00F75D28" w:rsidP="00F75D2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по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решењу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надлежног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органа</w:t>
            </w:r>
            <w:proofErr w:type="spellEnd"/>
            <w:r w:rsidRPr="00F75D28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293EB4D3" w14:textId="77777777" w:rsidR="00F75D28" w:rsidRPr="00F75D28" w:rsidRDefault="00F75D28" w:rsidP="00F75D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Обрасце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ПП ЛКТ и ПП ЛКТ ЗИ,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који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су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саставни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део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ове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одлуке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,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објављене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у "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Сл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.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листу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града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Чачка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",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бр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. 3/2019,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можете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погледати</w:t>
      </w:r>
      <w:proofErr w:type="spellEnd"/>
      <w:r w:rsidRPr="00F75D2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hyperlink r:id="rId4" w:tgtFrame="_blank" w:history="1">
        <w:r w:rsidRPr="00F75D28">
          <w:rPr>
            <w:rFonts w:ascii="Arial" w:eastAsia="Times New Roman" w:hAnsi="Arial" w:cs="Arial"/>
            <w:b/>
            <w:bCs/>
            <w:color w:val="0000FF"/>
            <w:kern w:val="0"/>
            <w:sz w:val="22"/>
            <w:szCs w:val="22"/>
            <w:u w:val="single"/>
            <w14:ligatures w14:val="none"/>
          </w:rPr>
          <w:t>ОВДЕ</w:t>
        </w:r>
      </w:hyperlink>
    </w:p>
    <w:p w14:paraId="1A50A842" w14:textId="77777777" w:rsidR="00EE6352" w:rsidRDefault="00EE6352"/>
    <w:sectPr w:rsidR="00EE6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28"/>
    <w:rsid w:val="000F28F3"/>
    <w:rsid w:val="005F7363"/>
    <w:rsid w:val="00634A17"/>
    <w:rsid w:val="007D6ED9"/>
    <w:rsid w:val="009A52DB"/>
    <w:rsid w:val="009D676A"/>
    <w:rsid w:val="00E007DD"/>
    <w:rsid w:val="00E6272F"/>
    <w:rsid w:val="00EE6352"/>
    <w:rsid w:val="00F75D28"/>
    <w:rsid w:val="00FB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22E3"/>
  <w15:chartTrackingRefBased/>
  <w15:docId w15:val="{FE1BA8E9-9301-43D7-A7CA-998B9B15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D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D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D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D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D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D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propisi.com/dokumenti/CA_3_2019obrasc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3558</Words>
  <Characters>20286</Characters>
  <Application>Microsoft Office Word</Application>
  <DocSecurity>0</DocSecurity>
  <Lines>169</Lines>
  <Paragraphs>47</Paragraphs>
  <ScaleCrop>false</ScaleCrop>
  <Company/>
  <LinksUpToDate>false</LinksUpToDate>
  <CharactersWithSpaces>23797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2025-05-13T12:23:00Z</dcterms:created>
  <dcterms:modified xsi:type="dcterms:W3CDTF">2025-05-13T12:24:00Z</dcterms:modified>
</cp:coreProperties>
</file>