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Најава упитника / Вест за сајт: 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Упитник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1"/>
          <w:szCs w:val="21"/>
          <w:rtl w:val="0"/>
        </w:rPr>
        <w:t xml:space="preserve">о квалитету живота на територији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highlight w:val="white"/>
          <w:rtl w:val="0"/>
        </w:rPr>
        <w:t xml:space="preserve">градова Краљево и Чачак и општина Рашка, Врњачка Бања и Ивањица</w:t>
      </w:r>
      <w:r w:rsidDel="00000000" w:rsidR="00000000" w:rsidRPr="00000000">
        <w:rPr>
          <w:rFonts w:ascii="Roboto" w:cs="Roboto" w:eastAsia="Roboto" w:hAnsi="Roboto"/>
          <w:b w:val="1"/>
          <w:bCs w:val="1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Град Краљево, у партнерству са градом Чачком и општинама Рашка</w:t>
      </w:r>
      <w:r w:rsidDel="00000000" w:rsidR="00000000" w:rsidRPr="00000000">
        <w:rPr>
          <w:rFonts w:ascii="Arial" w:cs="Arial" w:eastAsia="Arial" w:hAnsi="Arial"/>
          <w:rtl w:val="0"/>
        </w:rPr>
        <w:t xml:space="preserve">, Врњачка Бања и Ивањица </w:t>
      </w:r>
      <w:r w:rsidDel="00000000" w:rsidR="00000000" w:rsidRPr="00000000">
        <w:rPr>
          <w:rFonts w:ascii="Arial" w:cs="Arial" w:eastAsia="Arial" w:hAnsi="Arial"/>
          <w:rtl w:val="0"/>
        </w:rPr>
        <w:t xml:space="preserve">и Регионалном агенцијом за просторни и економски развој Рашког и Моравичког округа, приступио је изради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Територијалне стратегије урбаног подручја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highlight w:val="white"/>
          <w:rtl w:val="0"/>
        </w:rPr>
        <w:t xml:space="preserve">градова Краљево и Чачак и општина Рашка, Врњачка Бања и Ивањица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Циљ израде ове стратегије јесте да допринесе одрживом развоју територије заснованом на подстицању иновативне, паметне, нискоугљеничне и циркуларне економије. Пажња се посвећује и прелазу на чисту и праведну енергију, као и подстицању зелених и плавих улагања, уз ублажавање и прилагођавање климатским променама, те спречавању и управљању ризицима. Стратегијом треба да се допринесе и одрживој и мултимодалној урбаној мобилности. Посебан акценат се ставља на јачања социјалне компоненте у домену запошљавања, образовања, социоекономске укључености и интеграције, становања, социјалне и здравствене заштите, културе, спорта, социјалних иновација и иновација у области дигиталних технологија. Поред тога процес израде стратегије подразумева примену интегралног и партиципативног приступа развоју друштва и привреде, развоју предела, културног и градитељског наслеђа, природне баштине, одрживог туризма, као и јачању урбано-руралних веза. 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Стратегија поставља приоритете одрживог територијалног развоја, доприноси оптималном коришћењу финансијских ресурса и развијању веза унутар и изван окружења.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Позивају се сви заинтересовани грађани и грађанке да дају свој допринос у изради Стратегије одговором на упитник о различитим aспектима квалитета живота на територији на којој живе. 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Подаци добијени кроз упитник користиће се за израду анализе постојећег стања, сагледавање развојних потенцијала и изазова, као и у процесу дефинисања развојних потреба. Резултати ће бити представљени на серији тематских округлих столова који ће бити организовани у наредном периоду. 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Попуњавање упитника је анонимно. Упитник се може попунити </w:t>
      </w:r>
      <w:hyperlink r:id="rId6">
        <w:r w:rsidDel="00000000" w:rsidR="00000000" w:rsidRPr="00000000">
          <w:rPr>
            <w:rFonts w:ascii="Arial" w:cs="Arial" w:eastAsia="Arial" w:hAnsi="Arial"/>
            <w:b w:val="1"/>
            <w:bCs w:val="1"/>
            <w:color w:val="1155cc"/>
            <w:highlight w:val="white"/>
            <w:u w:val="single"/>
            <w:rtl w:val="0"/>
          </w:rPr>
          <w:t xml:space="preserve">ОВДЕ</w:t>
        </w:r>
      </w:hyperlink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најкасније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до 6. априла 2026. год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.  </w:t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08.5714285714286" w:lineRule="auto"/>
        <w:jc w:val="both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Израду Територијалне стр</w:t>
      </w:r>
      <w:r w:rsidDel="00000000" w:rsidR="00000000" w:rsidRPr="00000000">
        <w:rPr>
          <w:rFonts w:ascii="Arial" w:cs="Arial" w:eastAsia="Arial" w:hAnsi="Arial"/>
          <w:rtl w:val="0"/>
        </w:rPr>
        <w:t xml:space="preserve">атегије урбаног подручја </w:t>
      </w:r>
      <w:r w:rsidDel="00000000" w:rsidR="00000000" w:rsidRPr="00000000">
        <w:rPr>
          <w:rFonts w:ascii="Roboto" w:cs="Roboto" w:eastAsia="Roboto" w:hAnsi="Roboto"/>
          <w:color w:val="1f1f1f"/>
          <w:highlight w:val="white"/>
          <w:rtl w:val="0"/>
        </w:rPr>
        <w:t xml:space="preserve">градова Краљево и Чачак и општина Рашка, Врњачка Бања и Ивањица</w:t>
      </w:r>
      <w:r w:rsidDel="00000000" w:rsidR="00000000" w:rsidRPr="00000000">
        <w:rPr>
          <w:rFonts w:ascii="Arial" w:cs="Arial" w:eastAsia="Arial" w:hAnsi="Arial"/>
          <w:rtl w:val="0"/>
        </w:rPr>
        <w:t xml:space="preserve"> подр</w:t>
      </w:r>
      <w:r w:rsidDel="00000000" w:rsidR="00000000" w:rsidRPr="00000000">
        <w:rPr>
          <w:rFonts w:ascii="Arial" w:cs="Arial" w:eastAsia="Arial" w:hAnsi="Arial"/>
          <w:rtl w:val="0"/>
        </w:rPr>
        <w:t xml:space="preserve">жава Европска унија у партнерству са Владом Републике Србије преко програма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ЕУ </w:t>
        </w:r>
      </w:hyperlink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ИНТЕГРА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20" w:line="26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line="240" w:lineRule="auto"/>
      <w:ind w:right="-20"/>
    </w:pPr>
    <w:rPr>
      <w:rFonts w:ascii="Montserrat SemiBold" w:cs="Montserrat SemiBold" w:eastAsia="Montserrat SemiBold" w:hAnsi="Montserrat SemiBold"/>
      <w:color w:val="263e93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40" w:lineRule="auto"/>
      <w:ind w:right="-20"/>
    </w:pPr>
    <w:rPr>
      <w:rFonts w:ascii="Montserrat Medium" w:cs="Montserrat Medium" w:eastAsia="Montserrat Medium" w:hAnsi="Montserrat Medium"/>
      <w:color w:val="f0bc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00" w:line="288" w:lineRule="auto"/>
      <w:ind w:left="720"/>
    </w:pPr>
    <w:rPr>
      <w:rFonts w:ascii="Montserrat" w:cs="Montserrat" w:eastAsia="Montserrat" w:hAnsi="Montserrat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1f497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i w:val="1"/>
      <w:iCs w:val="1"/>
      <w:color w:val="1f497d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color w:val="4f81bd"/>
      <w:sz w:val="56"/>
      <w:szCs w:val="56"/>
    </w:rPr>
  </w:style>
  <w:style w:type="paragraph" w:styleId="Subtitle">
    <w:name w:val="Subtitle"/>
    <w:basedOn w:val="Normal"/>
    <w:next w:val="Normal"/>
    <w:pPr>
      <w:spacing w:line="240" w:lineRule="auto"/>
    </w:pPr>
    <w:rPr>
      <w:rFonts w:ascii="Cambria" w:cs="Cambria" w:eastAsia="Cambria" w:hAnsi="Cambria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szvmFnrykr6MJtts9" TargetMode="External"/><Relationship Id="rId7" Type="http://schemas.openxmlformats.org/officeDocument/2006/relationships/hyperlink" Target="https://euintegra.org.rs/" TargetMode="External"/><Relationship Id="rId8" Type="http://schemas.openxmlformats.org/officeDocument/2006/relationships/hyperlink" Target="https://euintegra.org.r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